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862" w:rsidRPr="00FA5DB9" w:rsidRDefault="00CE0862" w:rsidP="00CE0862">
      <w:pPr>
        <w:jc w:val="center"/>
        <w:rPr>
          <w:b/>
          <w:sz w:val="32"/>
          <w:szCs w:val="32"/>
        </w:rPr>
      </w:pPr>
      <w:r w:rsidRPr="00FA5DB9">
        <w:rPr>
          <w:b/>
          <w:sz w:val="32"/>
          <w:szCs w:val="32"/>
        </w:rPr>
        <w:t>Календарно – тематическое планирование</w:t>
      </w:r>
    </w:p>
    <w:tbl>
      <w:tblPr>
        <w:tblW w:w="5480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3126"/>
        <w:gridCol w:w="3605"/>
        <w:gridCol w:w="1438"/>
        <w:gridCol w:w="1407"/>
      </w:tblGrid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tabs>
                <w:tab w:val="left" w:pos="2835"/>
              </w:tabs>
              <w:jc w:val="both"/>
              <w:rPr>
                <w:b/>
                <w:color w:val="000000"/>
              </w:rPr>
            </w:pPr>
            <w:r w:rsidRPr="00FA5DB9">
              <w:rPr>
                <w:b/>
                <w:color w:val="000000"/>
              </w:rPr>
              <w:t>№ п/п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tabs>
                <w:tab w:val="left" w:pos="2835"/>
              </w:tabs>
              <w:jc w:val="both"/>
              <w:rPr>
                <w:b/>
                <w:color w:val="000000"/>
              </w:rPr>
            </w:pPr>
            <w:r w:rsidRPr="00FA5DB9">
              <w:rPr>
                <w:b/>
                <w:color w:val="000000"/>
              </w:rPr>
              <w:t>Тема</w:t>
            </w:r>
          </w:p>
        </w:tc>
        <w:tc>
          <w:tcPr>
            <w:tcW w:w="1763" w:type="pct"/>
          </w:tcPr>
          <w:p w:rsidR="00CE0862" w:rsidRPr="00FA5DB9" w:rsidRDefault="00CE0862" w:rsidP="0052089C">
            <w:pPr>
              <w:tabs>
                <w:tab w:val="left" w:pos="2835"/>
              </w:tabs>
              <w:jc w:val="both"/>
              <w:rPr>
                <w:b/>
                <w:color w:val="000000"/>
              </w:rPr>
            </w:pPr>
            <w:r w:rsidRPr="00FA5DB9">
              <w:rPr>
                <w:b/>
                <w:color w:val="000000"/>
              </w:rPr>
              <w:t>Характеристика деятельности учащихся</w:t>
            </w:r>
          </w:p>
        </w:tc>
        <w:tc>
          <w:tcPr>
            <w:tcW w:w="1380" w:type="pct"/>
            <w:gridSpan w:val="2"/>
          </w:tcPr>
          <w:p w:rsidR="00CE0862" w:rsidRPr="00FA5DB9" w:rsidRDefault="00CE0862" w:rsidP="0052089C">
            <w:pPr>
              <w:tabs>
                <w:tab w:val="left" w:pos="2835"/>
              </w:tabs>
              <w:jc w:val="both"/>
              <w:rPr>
                <w:b/>
                <w:color w:val="000000"/>
              </w:rPr>
            </w:pPr>
            <w:r w:rsidRPr="00FA5DB9">
              <w:rPr>
                <w:b/>
                <w:color w:val="000000"/>
              </w:rPr>
              <w:t>Дата проведения</w:t>
            </w: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/>
        </w:tc>
        <w:tc>
          <w:tcPr>
            <w:tcW w:w="1529" w:type="pct"/>
          </w:tcPr>
          <w:p w:rsidR="00CE0862" w:rsidRPr="00FA5DB9" w:rsidRDefault="00CE0862" w:rsidP="0052089C">
            <w:pPr>
              <w:rPr>
                <w:b/>
              </w:rPr>
            </w:pPr>
            <w:r w:rsidRPr="00FA5DB9">
              <w:rPr>
                <w:b/>
              </w:rPr>
              <w:t>Русский язык: прошлое и настоящее (13 ч)</w:t>
            </w:r>
          </w:p>
          <w:p w:rsidR="00CE0862" w:rsidRPr="00FA5DB9" w:rsidRDefault="00CE0862" w:rsidP="0052089C"/>
        </w:tc>
        <w:tc>
          <w:tcPr>
            <w:tcW w:w="1763" w:type="pct"/>
          </w:tcPr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  <w:r w:rsidRPr="00FA5DB9">
              <w:rPr>
                <w:color w:val="000000"/>
              </w:rPr>
              <w:t>по плану</w:t>
            </w:r>
          </w:p>
        </w:tc>
        <w:tc>
          <w:tcPr>
            <w:tcW w:w="675" w:type="pct"/>
          </w:tcPr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  <w:r w:rsidRPr="00FA5DB9">
              <w:rPr>
                <w:color w:val="000000"/>
              </w:rPr>
              <w:t>фактически</w:t>
            </w: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r w:rsidRPr="00FA5DB9">
              <w:t>1</w:t>
            </w:r>
          </w:p>
        </w:tc>
        <w:tc>
          <w:tcPr>
            <w:tcW w:w="1529" w:type="pct"/>
          </w:tcPr>
          <w:p w:rsidR="00CE0862" w:rsidRPr="00FA5DB9" w:rsidRDefault="00CE0862" w:rsidP="0052089C">
            <w:r w:rsidRPr="00FA5DB9"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1763" w:type="pct"/>
            <w:vMerge w:val="restart"/>
          </w:tcPr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  <w:r w:rsidRPr="00FA5DB9">
              <w:rPr>
                <w:color w:val="000000"/>
              </w:rPr>
              <w:t xml:space="preserve">распознают и понимают значение устаревших слов по указанной тематике; </w:t>
            </w:r>
          </w:p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</w:pPr>
            <w:r w:rsidRPr="00FA5DB9">
              <w:t>распознают слова, связанные с особенностями мировосприятия и отношений      между людьми;</w:t>
            </w:r>
          </w:p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</w:pPr>
            <w:r w:rsidRPr="00FA5DB9">
              <w:t>распознают слова, называющие природные явления и растения;</w:t>
            </w:r>
          </w:p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</w:pPr>
          </w:p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  <w:r w:rsidRPr="00FA5DB9">
              <w:t>распознают слова, называющие предметы и явления традиционной русской культуры;</w:t>
            </w:r>
          </w:p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  <w:r w:rsidRPr="00FA5DB9">
              <w:rPr>
                <w:color w:val="000000"/>
              </w:rPr>
              <w:t xml:space="preserve">используют словарные статьи для определения лексического значения слова; </w:t>
            </w:r>
          </w:p>
          <w:p w:rsidR="00CE0862" w:rsidRPr="00FA5DB9" w:rsidRDefault="00CE0862" w:rsidP="0052089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5DB9">
              <w:rPr>
                <w:color w:val="000000"/>
              </w:rPr>
              <w:t xml:space="preserve">учатся понимать значение русских пословиц и поговорок, связанных с изученными темами; </w:t>
            </w:r>
          </w:p>
          <w:p w:rsidR="00CE0862" w:rsidRPr="00FA5DB9" w:rsidRDefault="00CE0862" w:rsidP="0052089C">
            <w:pPr>
              <w:rPr>
                <w:b/>
              </w:rPr>
            </w:pPr>
          </w:p>
          <w:p w:rsidR="00CE0862" w:rsidRPr="00FA5DB9" w:rsidRDefault="00CE0862" w:rsidP="0052089C"/>
          <w:p w:rsidR="00CE0862" w:rsidRPr="00FA5DB9" w:rsidRDefault="00CE0862" w:rsidP="0052089C"/>
          <w:p w:rsidR="00CE0862" w:rsidRPr="00FA5DB9" w:rsidRDefault="00CE0862" w:rsidP="0052089C">
            <w:r w:rsidRPr="00FA5DB9">
              <w:t>поиск информации о происхождении фамилии</w:t>
            </w:r>
          </w:p>
          <w:p w:rsidR="00CE0862" w:rsidRPr="00FA5DB9" w:rsidRDefault="00CE0862" w:rsidP="0052089C">
            <w:r w:rsidRPr="00FA5DB9">
              <w:t>находят сведения о старинных русских городах в различных информационных источниках</w:t>
            </w:r>
          </w:p>
          <w:p w:rsidR="00CE0862" w:rsidRPr="00FA5DB9" w:rsidRDefault="00CE0862" w:rsidP="0052089C"/>
          <w:p w:rsidR="00CE0862" w:rsidRPr="00FA5DB9" w:rsidRDefault="00CE0862" w:rsidP="0052089C">
            <w:r w:rsidRPr="00FA5DB9">
              <w:t>учатся подбирать и употреблять  сравнения, эпитеты  в устной и письменной речи; работают со словарем синонимов</w:t>
            </w:r>
          </w:p>
          <w:p w:rsidR="00CE0862" w:rsidRPr="00FA5DB9" w:rsidRDefault="00CE0862" w:rsidP="0052089C"/>
        </w:tc>
        <w:tc>
          <w:tcPr>
            <w:tcW w:w="705" w:type="pct"/>
          </w:tcPr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pStyle w:val="a6"/>
            </w:pPr>
            <w:r w:rsidRPr="00FA5DB9">
              <w:t>2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Кто друг прямой, тот брат родной. Слова, связанные с особенностями мировосприятия и отношений  между людьми (правда – ложь, друг – недруг, брат – братство – побратим).</w:t>
            </w:r>
          </w:p>
          <w:p w:rsidR="00CE0862" w:rsidRPr="00FA5DB9" w:rsidRDefault="00CE0862" w:rsidP="0052089C">
            <w:pPr>
              <w:jc w:val="both"/>
            </w:pP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pStyle w:val="a6"/>
            </w:pPr>
            <w:r w:rsidRPr="00FA5DB9">
              <w:t>3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Дождик вымочит, а красно солнышко высушит. Слова, называющие природные явления. Образные названия солнышка, дождя.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pStyle w:val="a6"/>
            </w:pPr>
            <w:r w:rsidRPr="00FA5DB9">
              <w:t>4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Сошлись два друга – мороз да вьюга. Образные названия мороза, вьюги.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pStyle w:val="a6"/>
            </w:pPr>
            <w:r w:rsidRPr="00FA5DB9">
              <w:t>5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Ветер без крыльев летает. Образные названия ветра.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pStyle w:val="a6"/>
            </w:pPr>
            <w:r w:rsidRPr="00FA5DB9">
              <w:t>6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Какой лес без чудес. Образные названия растений.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pStyle w:val="a6"/>
            </w:pPr>
            <w:r w:rsidRPr="00FA5DB9">
              <w:t>7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 xml:space="preserve">Дело мастера боится. Слова, называющие занятия людей (ямщик, извозчик, коробейник, лавочник). </w:t>
            </w:r>
          </w:p>
          <w:p w:rsidR="00CE0862" w:rsidRPr="00FA5DB9" w:rsidRDefault="00CE0862" w:rsidP="0052089C">
            <w:pPr>
              <w:pStyle w:val="a6"/>
            </w:pP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pStyle w:val="a6"/>
            </w:pPr>
            <w:r w:rsidRPr="00FA5DB9">
              <w:t>8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Проектное задание: «Откуда в русском языке эта фамилия»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pStyle w:val="a6"/>
            </w:pPr>
            <w:r w:rsidRPr="00FA5DB9">
              <w:t>9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 xml:space="preserve">Заиграйте мои гусли.  Слова, называющие музыкальные инструменты (балалайка, гусли, гармонь). </w:t>
            </w:r>
          </w:p>
          <w:p w:rsidR="00CE0862" w:rsidRPr="00FA5DB9" w:rsidRDefault="00CE0862" w:rsidP="0052089C">
            <w:pPr>
              <w:pStyle w:val="a6"/>
            </w:pP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pStyle w:val="a6"/>
            </w:pPr>
            <w:r w:rsidRPr="00FA5DB9">
              <w:t>10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Что ни город, то норов. Названия старинных русских городов, сведения о происхождении этих названий.</w:t>
            </w:r>
          </w:p>
          <w:p w:rsidR="00CE0862" w:rsidRPr="00FA5DB9" w:rsidRDefault="00CE0862" w:rsidP="0052089C">
            <w:pPr>
              <w:pStyle w:val="a6"/>
            </w:pP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pStyle w:val="a6"/>
            </w:pPr>
            <w:r w:rsidRPr="00FA5DB9">
              <w:t>11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У земли ясно солнце, у человека – слово. Эпитеты и сравнения. Списывание отрывка фольклорного текста с творческим заданием.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2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 xml:space="preserve">Проектное задание: </w:t>
            </w:r>
            <w:r w:rsidRPr="00FA5DB9">
              <w:t>«История моего имени и фамилии»</w:t>
            </w:r>
          </w:p>
        </w:tc>
        <w:tc>
          <w:tcPr>
            <w:tcW w:w="1763" w:type="pct"/>
          </w:tcPr>
          <w:p w:rsidR="00CE0862" w:rsidRPr="00FA5DB9" w:rsidRDefault="00CE0862" w:rsidP="0052089C">
            <w:pPr>
              <w:jc w:val="both"/>
            </w:pPr>
            <w:r w:rsidRPr="00FA5DB9">
              <w:t>поиск  информации в словарях о происхождении слов</w:t>
            </w: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13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 xml:space="preserve"> Контрольная работа по разделу «Русский язык: прошлое и настоящее»</w:t>
            </w:r>
          </w:p>
        </w:tc>
        <w:tc>
          <w:tcPr>
            <w:tcW w:w="1763" w:type="pct"/>
          </w:tcPr>
          <w:p w:rsidR="00CE0862" w:rsidRPr="00FA5DB9" w:rsidRDefault="00CE0862" w:rsidP="0052089C">
            <w:pPr>
              <w:jc w:val="both"/>
            </w:pPr>
            <w:r w:rsidRPr="00FA5DB9">
              <w:t>выполняют контрольную работу</w:t>
            </w: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529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/>
              </w:rPr>
              <w:t>Язык в действии (10 ч)</w:t>
            </w:r>
          </w:p>
        </w:tc>
        <w:tc>
          <w:tcPr>
            <w:tcW w:w="1763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14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 xml:space="preserve">Как правильно произносить слова. </w:t>
            </w:r>
          </w:p>
          <w:p w:rsidR="00CE0862" w:rsidRPr="00FA5DB9" w:rsidRDefault="00CE0862" w:rsidP="0052089C">
            <w:pPr>
              <w:jc w:val="both"/>
              <w:rPr>
                <w:b/>
              </w:rPr>
            </w:pPr>
          </w:p>
        </w:tc>
        <w:tc>
          <w:tcPr>
            <w:tcW w:w="1763" w:type="pct"/>
          </w:tcPr>
          <w:p w:rsidR="00CE0862" w:rsidRPr="00FA5DB9" w:rsidRDefault="00CE0862" w:rsidP="0052089C">
            <w:pPr>
              <w:jc w:val="both"/>
            </w:pPr>
            <w:r w:rsidRPr="00FA5DB9">
              <w:t>работают со словарем ударений</w:t>
            </w: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15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 xml:space="preserve">Для чего нужны суффиксы. </w:t>
            </w:r>
            <w:r w:rsidRPr="00FA5DB9">
              <w:t>Многообразие суффиксов как специфика русского языка</w:t>
            </w:r>
          </w:p>
        </w:tc>
        <w:tc>
          <w:tcPr>
            <w:tcW w:w="1763" w:type="pct"/>
            <w:vMerge w:val="restart"/>
          </w:tcPr>
          <w:p w:rsidR="00CE0862" w:rsidRPr="00FA5DB9" w:rsidRDefault="00CE0862" w:rsidP="0052089C">
            <w:pPr>
              <w:jc w:val="both"/>
            </w:pPr>
            <w:r w:rsidRPr="00FA5DB9">
              <w:t>учатся различать по суффиксам различные оттенки значения слов;</w:t>
            </w:r>
          </w:p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  <w:r w:rsidRPr="00FA5DB9">
              <w:t>учатся различать существительные, имеющие только форму единственного или только форму множественного числа;</w:t>
            </w:r>
          </w:p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  <w:r w:rsidRPr="00FA5DB9">
              <w:t>учатся 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      </w:r>
          </w:p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  <w:r w:rsidRPr="00FA5DB9">
              <w:t>учатся редактировать письменный  текст с целью исправления грамматических и орфографических ошибок</w:t>
            </w: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16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Изложение по рассказу Л.Толстого «Котенок»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17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Какие особенности рода имён существительных есть в русском языке.</w:t>
            </w:r>
            <w:r w:rsidRPr="00FA5DB9">
              <w:t xml:space="preserve"> Специфика грамматических категорий русского языка.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18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Все ли имена существительные «умеют» изменяться по числам.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19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Как изменяются имена существительные во множественном числе?</w:t>
            </w:r>
            <w:r w:rsidRPr="00FA5DB9">
              <w:t xml:space="preserve"> Словоизменение отдельных форм множественного числа имен существительных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20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rPr>
                <w:bCs/>
                <w:color w:val="000000"/>
              </w:rPr>
            </w:pPr>
            <w:r w:rsidRPr="00FA5DB9">
              <w:t>Редактирование письменных  текстов с целью исправления грамматических и орфографических ошибок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21</w:t>
            </w:r>
          </w:p>
        </w:tc>
        <w:tc>
          <w:tcPr>
            <w:tcW w:w="1529" w:type="pct"/>
          </w:tcPr>
          <w:p w:rsidR="00CE0862" w:rsidRPr="00FA5DB9" w:rsidRDefault="00CE0862" w:rsidP="0052089C">
            <w:r w:rsidRPr="00FA5DB9">
              <w:t>Зачем в русском языке такие разные предлоги? Нормы правильного и точного употребления предлогов</w:t>
            </w:r>
          </w:p>
        </w:tc>
        <w:tc>
          <w:tcPr>
            <w:tcW w:w="1763" w:type="pct"/>
            <w:vMerge w:val="restart"/>
          </w:tcPr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  <w:r w:rsidRPr="00FA5DB9">
              <w:t>учатся владеть нормами правильного и точного употребления предлогов</w:t>
            </w: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22</w:t>
            </w:r>
          </w:p>
        </w:tc>
        <w:tc>
          <w:tcPr>
            <w:tcW w:w="1529" w:type="pct"/>
          </w:tcPr>
          <w:p w:rsidR="00CE0862" w:rsidRPr="00FA5DB9" w:rsidRDefault="00CE0862" w:rsidP="0052089C">
            <w:r w:rsidRPr="00FA5DB9">
              <w:t>Восстановление деформированного теста «Зяблик с колечком» (По Н. Сладкову) с творческими дополнениями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23</w:t>
            </w:r>
          </w:p>
        </w:tc>
        <w:tc>
          <w:tcPr>
            <w:tcW w:w="1529" w:type="pct"/>
          </w:tcPr>
          <w:p w:rsidR="00CE0862" w:rsidRPr="00FA5DB9" w:rsidRDefault="00CE0862" w:rsidP="0052089C">
            <w:r w:rsidRPr="00FA5DB9">
              <w:t xml:space="preserve"> Контрольная работа  по разделу</w:t>
            </w:r>
          </w:p>
        </w:tc>
        <w:tc>
          <w:tcPr>
            <w:tcW w:w="1763" w:type="pct"/>
          </w:tcPr>
          <w:p w:rsidR="00CE0862" w:rsidRPr="00FA5DB9" w:rsidRDefault="00CE0862" w:rsidP="0052089C">
            <w:pPr>
              <w:jc w:val="both"/>
            </w:pPr>
            <w:r w:rsidRPr="00FA5DB9">
              <w:t>выполняют конрольную  работу</w:t>
            </w: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3"/>
              <w:ind w:left="0"/>
              <w:rPr>
                <w:b/>
              </w:rPr>
            </w:pPr>
            <w:r w:rsidRPr="00FA5DB9">
              <w:rPr>
                <w:b/>
              </w:rPr>
              <w:t>Секреты речи и текста (11 ч)</w:t>
            </w:r>
          </w:p>
          <w:p w:rsidR="00CE0862" w:rsidRPr="00FA5DB9" w:rsidRDefault="00CE0862" w:rsidP="0052089C"/>
        </w:tc>
        <w:tc>
          <w:tcPr>
            <w:tcW w:w="1763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24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3"/>
              <w:ind w:left="0"/>
            </w:pPr>
            <w:r w:rsidRPr="00FA5DB9">
              <w:t>Особенности устного выступления</w:t>
            </w:r>
          </w:p>
        </w:tc>
        <w:tc>
          <w:tcPr>
            <w:tcW w:w="1763" w:type="pct"/>
            <w:vMerge w:val="restart"/>
          </w:tcPr>
          <w:p w:rsidR="00CE0862" w:rsidRPr="00FA5DB9" w:rsidRDefault="00CE0862" w:rsidP="0052089C">
            <w:pPr>
              <w:jc w:val="both"/>
            </w:pPr>
            <w:r w:rsidRPr="00FA5DB9">
              <w:t>учатся строить устные сообщения различных видов: развернутый ответ, ответ-добавление, комментирование ответа или работы одноклассника, мини-доклад;</w:t>
            </w:r>
          </w:p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A5DB9">
              <w:rPr>
                <w:sz w:val="24"/>
                <w:szCs w:val="24"/>
                <w:lang w:val="ru-RU"/>
              </w:rPr>
              <w:t>Создание мини-доклада о народном промысле «Дымковская игрушка»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25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3"/>
              <w:ind w:left="0"/>
            </w:pPr>
            <w:r w:rsidRPr="00FA5DB9">
              <w:t>Типы текста. Текст - рассуждение</w:t>
            </w:r>
          </w:p>
        </w:tc>
        <w:tc>
          <w:tcPr>
            <w:tcW w:w="1763" w:type="pct"/>
            <w:vMerge w:val="restart"/>
          </w:tcPr>
          <w:p w:rsidR="00CE0862" w:rsidRPr="00FA5DB9" w:rsidRDefault="00CE0862" w:rsidP="0052089C">
            <w:pPr>
              <w:jc w:val="both"/>
            </w:pPr>
            <w:r w:rsidRPr="00FA5DB9">
              <w:t xml:space="preserve"> знакомятся со структурой текста рассуждения;</w:t>
            </w:r>
          </w:p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  <w:r w:rsidRPr="00FA5DB9">
              <w:t>учатся создавать тексты-рассуждения с использованием различных способов аргументации</w:t>
            </w: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26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  <w:rPr>
                <w:rFonts w:eastAsia="Calibri"/>
                <w:lang w:eastAsia="en-US"/>
              </w:rPr>
            </w:pPr>
            <w:r w:rsidRPr="00FA5DB9">
              <w:t>Сочинение-рассуждение по пословице «При солнышке тепло, при матушке добро» с использованием различных способов аргументации</w:t>
            </w:r>
          </w:p>
          <w:p w:rsidR="00CE0862" w:rsidRPr="00FA5DB9" w:rsidRDefault="00CE0862" w:rsidP="0052089C">
            <w:pPr>
              <w:pStyle w:val="a3"/>
              <w:ind w:left="0"/>
            </w:pP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27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ConsPlusNormal"/>
              <w:spacing w:line="360" w:lineRule="auto"/>
              <w:rPr>
                <w:sz w:val="24"/>
                <w:szCs w:val="24"/>
              </w:rPr>
            </w:pPr>
            <w:r w:rsidRPr="00FA5DB9">
              <w:rPr>
                <w:sz w:val="24"/>
                <w:szCs w:val="24"/>
              </w:rPr>
              <w:t>Учимся редактировать тексты</w:t>
            </w:r>
          </w:p>
        </w:tc>
        <w:tc>
          <w:tcPr>
            <w:tcW w:w="1763" w:type="pct"/>
            <w:vMerge w:val="restart"/>
          </w:tcPr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  <w:r w:rsidRPr="00FA5DB9">
              <w:t>учатся редактировать собственные тексты с целью совершенствования их содержания и формы</w:t>
            </w: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28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29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Текст – повествование. Структура текста.</w:t>
            </w:r>
          </w:p>
        </w:tc>
        <w:tc>
          <w:tcPr>
            <w:tcW w:w="1763" w:type="pct"/>
            <w:vMerge w:val="restart"/>
          </w:tcPr>
          <w:p w:rsidR="00CE0862" w:rsidRPr="00FA5DB9" w:rsidRDefault="00CE0862" w:rsidP="0052089C">
            <w:pPr>
              <w:jc w:val="both"/>
            </w:pPr>
            <w:r w:rsidRPr="00FA5DB9">
              <w:t>учатся определять тему текста, основную мысль; определять опорные (ключевые) слова в тексте; на основе опорных слов создавать текст;</w:t>
            </w:r>
          </w:p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  <w:r w:rsidRPr="00FA5DB9">
              <w:t>учатся оценивать устные и письменные речевые высказывания с точки зрения точного, уместного и выразительного словоупотребления;</w:t>
            </w:r>
          </w:p>
          <w:p w:rsidR="00CE0862" w:rsidRPr="00FA5DB9" w:rsidRDefault="00CE0862" w:rsidP="0052089C">
            <w:pPr>
              <w:jc w:val="both"/>
            </w:pPr>
          </w:p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30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Творческая работа. Создание заметки о путешествии по городам России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31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Творческая работа. Создание заметки о посещении краеведческого  музея.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33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>Сочинение на тему «Как я провёл выходной день».</w:t>
            </w:r>
          </w:p>
        </w:tc>
        <w:tc>
          <w:tcPr>
            <w:tcW w:w="1763" w:type="pct"/>
            <w:vMerge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  <w:tr w:rsidR="00CE0862" w:rsidRPr="00FA5DB9" w:rsidTr="0052089C">
        <w:trPr>
          <w:trHeight w:val="609"/>
        </w:trPr>
        <w:tc>
          <w:tcPr>
            <w:tcW w:w="328" w:type="pct"/>
          </w:tcPr>
          <w:p w:rsidR="00CE0862" w:rsidRPr="00FA5DB9" w:rsidRDefault="00CE0862" w:rsidP="0052089C">
            <w:pPr>
              <w:jc w:val="both"/>
              <w:rPr>
                <w:bCs/>
                <w:color w:val="000000"/>
              </w:rPr>
            </w:pPr>
            <w:r w:rsidRPr="00FA5DB9">
              <w:rPr>
                <w:bCs/>
                <w:color w:val="000000"/>
              </w:rPr>
              <w:t>34</w:t>
            </w:r>
          </w:p>
        </w:tc>
        <w:tc>
          <w:tcPr>
            <w:tcW w:w="1529" w:type="pct"/>
          </w:tcPr>
          <w:p w:rsidR="00CE0862" w:rsidRPr="00FA5DB9" w:rsidRDefault="00CE0862" w:rsidP="0052089C">
            <w:pPr>
              <w:pStyle w:val="a6"/>
            </w:pPr>
            <w:r w:rsidRPr="00FA5DB9">
              <w:t xml:space="preserve"> Итоговая контрольная работа</w:t>
            </w:r>
          </w:p>
        </w:tc>
        <w:tc>
          <w:tcPr>
            <w:tcW w:w="1763" w:type="pct"/>
          </w:tcPr>
          <w:p w:rsidR="00CE0862" w:rsidRPr="00FA5DB9" w:rsidRDefault="00CE0862" w:rsidP="0052089C">
            <w:pPr>
              <w:jc w:val="both"/>
            </w:pPr>
            <w:r w:rsidRPr="00FA5DB9">
              <w:t>выполняют итоговую работу</w:t>
            </w:r>
          </w:p>
        </w:tc>
        <w:tc>
          <w:tcPr>
            <w:tcW w:w="705" w:type="pct"/>
          </w:tcPr>
          <w:p w:rsidR="00CE0862" w:rsidRPr="00FA5DB9" w:rsidRDefault="00CE0862" w:rsidP="0052089C">
            <w:pPr>
              <w:jc w:val="both"/>
            </w:pPr>
          </w:p>
        </w:tc>
        <w:tc>
          <w:tcPr>
            <w:tcW w:w="675" w:type="pct"/>
          </w:tcPr>
          <w:p w:rsidR="00CE0862" w:rsidRPr="00FA5DB9" w:rsidRDefault="00CE0862" w:rsidP="0052089C">
            <w:pPr>
              <w:jc w:val="both"/>
            </w:pPr>
          </w:p>
        </w:tc>
      </w:tr>
    </w:tbl>
    <w:p w:rsidR="00CE0862" w:rsidRPr="00FA5DB9" w:rsidRDefault="00CE0862" w:rsidP="00CE0862">
      <w:pPr>
        <w:pStyle w:val="a6"/>
        <w:jc w:val="both"/>
        <w:rPr>
          <w:b/>
        </w:rPr>
      </w:pPr>
    </w:p>
    <w:p w:rsidR="00CE0862" w:rsidRPr="00FA5DB9" w:rsidRDefault="00CE0862" w:rsidP="00CE086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67E4C" w:rsidRDefault="00967E4C">
      <w:bookmarkStart w:id="0" w:name="_GoBack"/>
      <w:bookmarkEnd w:id="0"/>
    </w:p>
    <w:sectPr w:rsidR="00967E4C" w:rsidSect="009224C8">
      <w:footerReference w:type="even" r:id="rId4"/>
      <w:footerReference w:type="default" r:id="rId5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BF" w:rsidRDefault="00CE0862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971550</wp:posOffset>
              </wp:positionH>
              <wp:positionV relativeFrom="page">
                <wp:posOffset>8999855</wp:posOffset>
              </wp:positionV>
              <wp:extent cx="295910" cy="143510"/>
              <wp:effectExtent l="0" t="0" r="0" b="635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95910" cy="143510"/>
                      </a:xfrm>
                      <a:prstGeom prst="rect">
                        <a:avLst/>
                      </a:prstGeom>
                      <a:solidFill>
                        <a:srgbClr val="FDFDF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CA7545" id="Прямоугольник 2" o:spid="_x0000_s1026" style="position:absolute;margin-left:76.5pt;margin-top:708.65pt;width:23.3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" o:allowincell="f" fillcolor="#fdfdfd" stroked="f"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959485</wp:posOffset>
              </wp:positionH>
              <wp:positionV relativeFrom="page">
                <wp:posOffset>8996045</wp:posOffset>
              </wp:positionV>
              <wp:extent cx="184150" cy="152400"/>
              <wp:effectExtent l="0" t="4445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07BF" w:rsidRDefault="00CE086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15" w:lineRule="exact"/>
                            <w:ind w:left="4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363435"/>
                              <w:w w:val="10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363435"/>
                              <w:w w:val="10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color w:val="363435"/>
                              <w:w w:val="105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363435"/>
                              <w:w w:val="105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color w:val="363435"/>
                              <w:w w:val="10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5.55pt;margin-top:708.35pt;width:14.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" o:allowincell="f" filled="f" stroked="f">
              <v:textbox inset="0,0,0,0">
                <w:txbxContent>
                  <w:p w:rsidR="009107BF" w:rsidRDefault="00CE0862">
                    <w:pPr>
                      <w:widowControl w:val="0"/>
                      <w:autoSpaceDE w:val="0"/>
                      <w:autoSpaceDN w:val="0"/>
                      <w:adjustRightInd w:val="0"/>
                      <w:spacing w:line="215" w:lineRule="exact"/>
                      <w:ind w:left="4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363435"/>
                        <w:w w:val="10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color w:val="363435"/>
                        <w:w w:val="10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color w:val="363435"/>
                        <w:w w:val="105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color w:val="363435"/>
                        <w:w w:val="105"/>
                        <w:sz w:val="20"/>
                        <w:szCs w:val="20"/>
                      </w:rPr>
                      <w:t>2</w:t>
                    </w:r>
                    <w:r>
                      <w:rPr>
                        <w:color w:val="363435"/>
                        <w:w w:val="105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487986"/>
      <w:docPartObj>
        <w:docPartGallery w:val="Page Numbers (Bottom of Page)"/>
        <w:docPartUnique/>
      </w:docPartObj>
    </w:sdtPr>
    <w:sdtEndPr/>
    <w:sdtContent>
      <w:p w:rsidR="009107BF" w:rsidRDefault="00CE086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107BF" w:rsidRDefault="00CE0862">
    <w:pPr>
      <w:widowControl w:val="0"/>
      <w:autoSpaceDE w:val="0"/>
      <w:autoSpaceDN w:val="0"/>
      <w:adjustRightInd w:val="0"/>
      <w:spacing w:line="22" w:lineRule="exact"/>
      <w:rPr>
        <w:sz w:val="2"/>
        <w:szCs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BA"/>
    <w:rsid w:val="00967E4C"/>
    <w:rsid w:val="009B11BA"/>
    <w:rsid w:val="00CE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212E645-993E-4593-AC99-E4700F6B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E086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CE086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E08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CE0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E0862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CE08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751</Words>
  <Characters>4282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2022-09-06T03:06:00Z</dcterms:created>
  <dcterms:modified xsi:type="dcterms:W3CDTF">2022-09-06T03:07:00Z</dcterms:modified>
</cp:coreProperties>
</file>